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4B065" w14:textId="13A8F5C5" w:rsidR="00201AC2" w:rsidRPr="001A40E2" w:rsidRDefault="00103ADB" w:rsidP="00201AC2">
      <w:pPr>
        <w:spacing w:after="180"/>
        <w:rPr>
          <w:b/>
          <w:sz w:val="44"/>
          <w:szCs w:val="44"/>
        </w:rPr>
      </w:pPr>
      <w:bookmarkStart w:id="0" w:name="_Hlk520287345"/>
      <w:bookmarkEnd w:id="0"/>
      <w:r w:rsidRPr="00103ADB">
        <w:rPr>
          <w:b/>
          <w:sz w:val="44"/>
          <w:szCs w:val="44"/>
        </w:rPr>
        <w:t>Interpreting chemical formulae</w:t>
      </w:r>
    </w:p>
    <w:p w14:paraId="6DA8DC8E" w14:textId="77777777" w:rsidR="007C26E1" w:rsidRDefault="007C26E1" w:rsidP="00201AC2">
      <w:pPr>
        <w:spacing w:after="180"/>
      </w:pPr>
    </w:p>
    <w:p w14:paraId="458B642F" w14:textId="77777777" w:rsidR="008308F9" w:rsidRDefault="008308F9" w:rsidP="00201AC2">
      <w:pPr>
        <w:pStyle w:val="ListParagraph"/>
        <w:numPr>
          <w:ilvl w:val="0"/>
          <w:numId w:val="3"/>
        </w:numPr>
        <w:spacing w:after="180"/>
        <w:ind w:left="567" w:hanging="567"/>
        <w:contextualSpacing w:val="0"/>
      </w:pPr>
      <w:r>
        <w:t>A jar containing white crystals is labelled NaCl.</w:t>
      </w:r>
    </w:p>
    <w:p w14:paraId="02222256" w14:textId="7853E52A" w:rsidR="00201AC2" w:rsidRPr="00103ADB" w:rsidRDefault="00103ADB" w:rsidP="008308F9">
      <w:pPr>
        <w:pStyle w:val="ListParagraph"/>
        <w:spacing w:after="180"/>
        <w:ind w:left="567"/>
        <w:contextualSpacing w:val="0"/>
      </w:pPr>
      <w:r w:rsidRPr="00103ADB">
        <w:t>NaCl is the chemical formula for sodium chloride (common salt).</w:t>
      </w:r>
    </w:p>
    <w:p w14:paraId="7100D048" w14:textId="095437DB" w:rsidR="00201AC2" w:rsidRDefault="00103ADB" w:rsidP="00103ADB">
      <w:pPr>
        <w:pStyle w:val="ListParagraph"/>
        <w:spacing w:after="180"/>
        <w:ind w:left="567"/>
        <w:contextualSpacing w:val="0"/>
      </w:pPr>
      <w:r>
        <w:t>Select the diagram that best represents this formula.</w:t>
      </w:r>
    </w:p>
    <w:p w14:paraId="7EEF93E3" w14:textId="480968AB" w:rsidR="001931F8" w:rsidRDefault="001931F8" w:rsidP="00103ADB">
      <w:pPr>
        <w:pStyle w:val="ListParagraph"/>
        <w:spacing w:after="180"/>
        <w:ind w:left="567"/>
        <w:contextualSpacing w:val="0"/>
      </w:pPr>
    </w:p>
    <w:p w14:paraId="2C01560B" w14:textId="4ECE87FA" w:rsidR="001931F8" w:rsidRDefault="001931F8" w:rsidP="00103ADB">
      <w:pPr>
        <w:pStyle w:val="ListParagraph"/>
        <w:spacing w:after="180"/>
        <w:ind w:left="567"/>
        <w:contextualSpacing w:val="0"/>
      </w:pPr>
      <w:r>
        <w:rPr>
          <w:noProof/>
        </w:rPr>
        <w:drawing>
          <wp:inline distT="0" distB="0" distL="0" distR="0" wp14:anchorId="644361F4" wp14:editId="51AB00B3">
            <wp:extent cx="4705350" cy="22383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8736" r="8378"/>
                    <a:stretch/>
                  </pic:blipFill>
                  <pic:spPr bwMode="auto">
                    <a:xfrm>
                      <a:off x="0" y="0"/>
                      <a:ext cx="4705350" cy="2238375"/>
                    </a:xfrm>
                    <a:prstGeom prst="rect">
                      <a:avLst/>
                    </a:prstGeom>
                    <a:ln>
                      <a:noFill/>
                    </a:ln>
                    <a:extLst>
                      <a:ext uri="{53640926-AAD7-44D8-BBD7-CCE9431645EC}">
                        <a14:shadowObscured xmlns:a14="http://schemas.microsoft.com/office/drawing/2010/main"/>
                      </a:ext>
                    </a:extLst>
                  </pic:spPr>
                </pic:pic>
              </a:graphicData>
            </a:graphic>
          </wp:inline>
        </w:drawing>
      </w:r>
    </w:p>
    <w:p w14:paraId="10840F10" w14:textId="3C315D80" w:rsidR="00103ADB" w:rsidRDefault="00103ADB" w:rsidP="00103ADB">
      <w:pPr>
        <w:pStyle w:val="ListParagraph"/>
        <w:spacing w:after="180"/>
        <w:ind w:left="567"/>
        <w:contextualSpacing w:val="0"/>
        <w:rPr>
          <w:noProof/>
        </w:rPr>
      </w:pPr>
    </w:p>
    <w:p w14:paraId="4CDCC593" w14:textId="72F11A76" w:rsidR="001931F8" w:rsidRDefault="001931F8" w:rsidP="00103ADB">
      <w:pPr>
        <w:pStyle w:val="ListParagraph"/>
        <w:spacing w:after="180"/>
        <w:ind w:left="567"/>
        <w:contextualSpacing w:val="0"/>
      </w:pPr>
    </w:p>
    <w:p w14:paraId="269122DF" w14:textId="28F37E2F" w:rsidR="001931F8" w:rsidRDefault="001931F8" w:rsidP="00103ADB">
      <w:pPr>
        <w:pStyle w:val="ListParagraph"/>
        <w:spacing w:after="180"/>
        <w:ind w:left="567"/>
        <w:contextualSpacing w:val="0"/>
      </w:pPr>
    </w:p>
    <w:p w14:paraId="203C9B41" w14:textId="501CDFB5" w:rsidR="001931F8" w:rsidRDefault="001931F8" w:rsidP="00103ADB">
      <w:pPr>
        <w:pStyle w:val="ListParagraph"/>
        <w:spacing w:after="180"/>
        <w:ind w:left="567"/>
        <w:contextualSpacing w:val="0"/>
      </w:pPr>
    </w:p>
    <w:p w14:paraId="7EBF0D73" w14:textId="77777777" w:rsidR="001931F8" w:rsidRDefault="001931F8" w:rsidP="00103ADB">
      <w:pPr>
        <w:pStyle w:val="ListParagraph"/>
        <w:spacing w:after="180"/>
        <w:ind w:left="567"/>
        <w:contextualSpacing w:val="0"/>
      </w:pPr>
    </w:p>
    <w:p w14:paraId="22C02C7C" w14:textId="0B1A848F" w:rsidR="00103ADB" w:rsidRPr="00103ADB" w:rsidRDefault="00103ADB" w:rsidP="00103ADB">
      <w:pPr>
        <w:pStyle w:val="ListParagraph"/>
        <w:spacing w:after="180"/>
        <w:ind w:left="567"/>
        <w:contextualSpacing w:val="0"/>
      </w:pPr>
      <w:r>
        <w:tab/>
      </w:r>
      <w:r>
        <w:tab/>
      </w:r>
    </w:p>
    <w:p w14:paraId="3428C444" w14:textId="77777777" w:rsidR="00201AC2" w:rsidRDefault="00201AC2" w:rsidP="006F3279">
      <w:pPr>
        <w:spacing w:after="240"/>
        <w:rPr>
          <w:szCs w:val="18"/>
        </w:rPr>
      </w:pPr>
    </w:p>
    <w:p w14:paraId="1DF18496" w14:textId="77777777" w:rsidR="00103ADB" w:rsidRDefault="00103ADB" w:rsidP="006F3279">
      <w:pPr>
        <w:spacing w:after="240"/>
        <w:rPr>
          <w:szCs w:val="18"/>
        </w:rPr>
      </w:pPr>
    </w:p>
    <w:p w14:paraId="23FA483B" w14:textId="77777777" w:rsidR="00103ADB" w:rsidRDefault="00103ADB" w:rsidP="006F3279">
      <w:pPr>
        <w:spacing w:after="240"/>
        <w:rPr>
          <w:szCs w:val="18"/>
        </w:rPr>
      </w:pPr>
    </w:p>
    <w:p w14:paraId="683CABDC" w14:textId="77777777" w:rsidR="00103ADB" w:rsidRDefault="00103ADB" w:rsidP="006F3279">
      <w:pPr>
        <w:spacing w:after="240"/>
        <w:rPr>
          <w:szCs w:val="18"/>
        </w:rPr>
      </w:pPr>
    </w:p>
    <w:p w14:paraId="01345DCE" w14:textId="77777777" w:rsidR="00103ADB" w:rsidRDefault="00103ADB" w:rsidP="006F3279">
      <w:pPr>
        <w:spacing w:after="240"/>
        <w:rPr>
          <w:szCs w:val="18"/>
        </w:rPr>
      </w:pPr>
    </w:p>
    <w:p w14:paraId="702DD46C" w14:textId="77777777" w:rsidR="00103ADB" w:rsidRDefault="00103ADB" w:rsidP="006F3279">
      <w:pPr>
        <w:spacing w:after="240"/>
        <w:rPr>
          <w:szCs w:val="18"/>
        </w:rPr>
      </w:pPr>
    </w:p>
    <w:p w14:paraId="5C9EDF20" w14:textId="77777777" w:rsidR="00103ADB" w:rsidRDefault="00103ADB" w:rsidP="006F3279">
      <w:pPr>
        <w:spacing w:after="240"/>
        <w:rPr>
          <w:szCs w:val="18"/>
        </w:rPr>
      </w:pPr>
    </w:p>
    <w:p w14:paraId="731DD222" w14:textId="77777777" w:rsidR="00103ADB" w:rsidRDefault="00103ADB" w:rsidP="006F3279">
      <w:pPr>
        <w:spacing w:after="240"/>
        <w:rPr>
          <w:szCs w:val="18"/>
        </w:rPr>
      </w:pPr>
    </w:p>
    <w:p w14:paraId="32D8A8DB" w14:textId="77777777" w:rsidR="00103ADB" w:rsidRDefault="00103ADB" w:rsidP="006F3279">
      <w:pPr>
        <w:spacing w:after="240"/>
        <w:rPr>
          <w:szCs w:val="18"/>
        </w:rPr>
      </w:pPr>
    </w:p>
    <w:p w14:paraId="4D7CD517" w14:textId="4A181043" w:rsidR="00103ADB" w:rsidRDefault="00103ADB" w:rsidP="00103ADB">
      <w:pPr>
        <w:spacing w:after="180"/>
        <w:rPr>
          <w:b/>
          <w:sz w:val="44"/>
          <w:szCs w:val="44"/>
        </w:rPr>
      </w:pPr>
      <w:r w:rsidRPr="00103ADB">
        <w:rPr>
          <w:b/>
          <w:sz w:val="44"/>
          <w:szCs w:val="44"/>
        </w:rPr>
        <w:lastRenderedPageBreak/>
        <w:t>Interpreting chemical formulae</w:t>
      </w:r>
    </w:p>
    <w:p w14:paraId="1834C8F0" w14:textId="77777777" w:rsidR="00103ADB" w:rsidRPr="001A40E2" w:rsidRDefault="00103ADB" w:rsidP="00103ADB">
      <w:pPr>
        <w:spacing w:after="180"/>
        <w:rPr>
          <w:b/>
          <w:sz w:val="44"/>
          <w:szCs w:val="44"/>
        </w:rPr>
      </w:pPr>
    </w:p>
    <w:p w14:paraId="698A8130" w14:textId="0E7800E5" w:rsidR="008308F9" w:rsidRDefault="008308F9" w:rsidP="00103ADB">
      <w:pPr>
        <w:pStyle w:val="ListParagraph"/>
        <w:numPr>
          <w:ilvl w:val="0"/>
          <w:numId w:val="3"/>
        </w:numPr>
        <w:spacing w:after="180"/>
        <w:ind w:left="567" w:hanging="567"/>
        <w:contextualSpacing w:val="0"/>
      </w:pPr>
      <w:r>
        <w:t xml:space="preserve">A bottle </w:t>
      </w:r>
      <w:r w:rsidR="00A310DB">
        <w:t>containing a</w:t>
      </w:r>
      <w:bookmarkStart w:id="1" w:name="_GoBack"/>
      <w:bookmarkEnd w:id="1"/>
      <w:r>
        <w:t xml:space="preserve"> colourless liquid is labelled </w:t>
      </w:r>
      <w:r w:rsidRPr="008308F9">
        <w:t>H</w:t>
      </w:r>
      <w:r>
        <w:rPr>
          <w:vertAlign w:val="subscript"/>
        </w:rPr>
        <w:t>2</w:t>
      </w:r>
      <w:r>
        <w:t>O.</w:t>
      </w:r>
    </w:p>
    <w:p w14:paraId="0C51609F" w14:textId="1835F87D" w:rsidR="00103ADB" w:rsidRPr="00103ADB" w:rsidRDefault="00103ADB" w:rsidP="008308F9">
      <w:pPr>
        <w:pStyle w:val="ListParagraph"/>
        <w:spacing w:after="180"/>
        <w:ind w:left="567"/>
        <w:contextualSpacing w:val="0"/>
      </w:pPr>
      <w:r w:rsidRPr="008308F9">
        <w:t>What</w:t>
      </w:r>
      <w:r>
        <w:t xml:space="preserve"> does the chemical formula H</w:t>
      </w:r>
      <w:r>
        <w:rPr>
          <w:vertAlign w:val="subscript"/>
        </w:rPr>
        <w:t>2</w:t>
      </w:r>
      <w:r>
        <w:t>O represent?</w:t>
      </w:r>
    </w:p>
    <w:p w14:paraId="44A1FE44" w14:textId="4D827AEF" w:rsidR="00103ADB" w:rsidRDefault="00103ADB" w:rsidP="00103ADB">
      <w:pPr>
        <w:pStyle w:val="ListParagraph"/>
        <w:spacing w:after="180"/>
        <w:ind w:left="567"/>
        <w:contextualSpacing w:val="0"/>
      </w:pPr>
      <w:r>
        <w:t>Tick a box to show how confident you are that each statement is right or wrong.</w:t>
      </w:r>
    </w:p>
    <w:p w14:paraId="21B2F0AD" w14:textId="3A97AEFD" w:rsidR="008308F9" w:rsidRDefault="008308F9" w:rsidP="00103ADB">
      <w:pPr>
        <w:pStyle w:val="ListParagraph"/>
        <w:spacing w:after="180"/>
        <w:ind w:left="567"/>
        <w:contextualSpacing w:val="0"/>
      </w:pPr>
      <w:r>
        <w:rPr>
          <w:noProof/>
        </w:rPr>
        <w:drawing>
          <wp:inline distT="0" distB="0" distL="0" distR="0" wp14:anchorId="6820EC7C" wp14:editId="6A878C22">
            <wp:extent cx="5731510" cy="208724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087245"/>
                    </a:xfrm>
                    <a:prstGeom prst="rect">
                      <a:avLst/>
                    </a:prstGeom>
                  </pic:spPr>
                </pic:pic>
              </a:graphicData>
            </a:graphic>
          </wp:inline>
        </w:drawing>
      </w:r>
    </w:p>
    <w:p w14:paraId="0FC659FC" w14:textId="4776D6D0" w:rsidR="00103ADB" w:rsidRDefault="00103ADB" w:rsidP="00103ADB">
      <w:pPr>
        <w:pStyle w:val="ListParagraph"/>
        <w:spacing w:after="180"/>
        <w:ind w:left="567"/>
        <w:contextualSpacing w:val="0"/>
      </w:pPr>
    </w:p>
    <w:p w14:paraId="351BC13B" w14:textId="018B0DF8" w:rsidR="00103ADB" w:rsidRDefault="00103ADB" w:rsidP="00103ADB">
      <w:pPr>
        <w:pStyle w:val="ListParagraph"/>
        <w:spacing w:after="180"/>
        <w:ind w:left="567"/>
        <w:contextualSpacing w:val="0"/>
      </w:pPr>
    </w:p>
    <w:p w14:paraId="5DF5EC25" w14:textId="77777777" w:rsidR="00103ADB" w:rsidRDefault="00103ADB">
      <w:pPr>
        <w:spacing w:after="200" w:line="276" w:lineRule="auto"/>
        <w:rPr>
          <w:i/>
          <w:sz w:val="18"/>
          <w:szCs w:val="18"/>
        </w:rPr>
      </w:pPr>
      <w:r>
        <w:rPr>
          <w:i/>
          <w:sz w:val="18"/>
          <w:szCs w:val="18"/>
        </w:rPr>
        <w:br w:type="page"/>
      </w:r>
    </w:p>
    <w:p w14:paraId="7C30C123" w14:textId="15A45FA5" w:rsidR="00287876" w:rsidRPr="006F3279" w:rsidRDefault="00323334" w:rsidP="006F3279">
      <w:pPr>
        <w:spacing w:after="240"/>
        <w:rPr>
          <w:i/>
          <w:sz w:val="18"/>
          <w:szCs w:val="18"/>
        </w:rPr>
      </w:pPr>
      <w:r>
        <w:rPr>
          <w:i/>
          <w:sz w:val="18"/>
          <w:szCs w:val="18"/>
        </w:rPr>
        <w:t>Chemistry</w:t>
      </w:r>
      <w:r w:rsidR="006F3279" w:rsidRPr="00CA4B46">
        <w:rPr>
          <w:i/>
          <w:sz w:val="18"/>
          <w:szCs w:val="18"/>
        </w:rPr>
        <w:t xml:space="preserve"> &gt; </w:t>
      </w:r>
      <w:r w:rsidR="0007651D">
        <w:rPr>
          <w:i/>
          <w:sz w:val="18"/>
          <w:szCs w:val="18"/>
        </w:rPr>
        <w:t xml:space="preserve">Big idea </w:t>
      </w:r>
      <w:r w:rsidR="00D70913">
        <w:rPr>
          <w:i/>
          <w:sz w:val="18"/>
          <w:szCs w:val="18"/>
        </w:rPr>
        <w:t>CPS: Particle and structure</w:t>
      </w:r>
      <w:r w:rsidR="0007651D">
        <w:rPr>
          <w:i/>
          <w:sz w:val="18"/>
          <w:szCs w:val="18"/>
        </w:rPr>
        <w:t xml:space="preserve"> &gt; Topic </w:t>
      </w:r>
      <w:r w:rsidR="00D70913">
        <w:rPr>
          <w:i/>
          <w:sz w:val="18"/>
          <w:szCs w:val="18"/>
        </w:rPr>
        <w:t>CPS2: Elements and compounds</w:t>
      </w:r>
      <w:r w:rsidR="006F3279" w:rsidRPr="00CA4B46">
        <w:rPr>
          <w:i/>
          <w:sz w:val="18"/>
          <w:szCs w:val="18"/>
        </w:rPr>
        <w:t xml:space="preserve">&gt; </w:t>
      </w:r>
      <w:r w:rsidR="0007651D">
        <w:rPr>
          <w:i/>
          <w:sz w:val="18"/>
          <w:szCs w:val="18"/>
        </w:rPr>
        <w:t>Key concept</w:t>
      </w:r>
      <w:r w:rsidR="006F3279" w:rsidRPr="00CA4B46">
        <w:rPr>
          <w:i/>
          <w:sz w:val="18"/>
          <w:szCs w:val="18"/>
        </w:rPr>
        <w:t xml:space="preserve"> </w:t>
      </w:r>
      <w:r w:rsidR="00D70913">
        <w:rPr>
          <w:i/>
          <w:sz w:val="18"/>
          <w:szCs w:val="18"/>
        </w:rPr>
        <w:t>CPS2.2.: Symbols and formulae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3B5501F" w14:textId="77777777" w:rsidTr="00323334">
        <w:tc>
          <w:tcPr>
            <w:tcW w:w="12021" w:type="dxa"/>
            <w:shd w:val="clear" w:color="auto" w:fill="FABF8F" w:themeFill="accent6" w:themeFillTint="99"/>
          </w:tcPr>
          <w:p w14:paraId="756E4E0D"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1A3F5D55" w14:textId="77777777" w:rsidTr="00323334">
        <w:tc>
          <w:tcPr>
            <w:tcW w:w="12021" w:type="dxa"/>
            <w:shd w:val="clear" w:color="auto" w:fill="FBD4B4" w:themeFill="accent6" w:themeFillTint="66"/>
          </w:tcPr>
          <w:p w14:paraId="7DCF716D" w14:textId="1F63B3B3" w:rsidR="006F3279" w:rsidRPr="00CA4B46" w:rsidRDefault="00D70913" w:rsidP="006F3279">
            <w:pPr>
              <w:spacing w:after="60"/>
              <w:ind w:left="1304"/>
              <w:rPr>
                <w:b/>
                <w:sz w:val="40"/>
                <w:szCs w:val="40"/>
              </w:rPr>
            </w:pPr>
            <w:r w:rsidRPr="00D70913">
              <w:rPr>
                <w:b/>
                <w:sz w:val="40"/>
                <w:szCs w:val="40"/>
              </w:rPr>
              <w:t>Interpreting chemical formulae</w:t>
            </w:r>
          </w:p>
        </w:tc>
      </w:tr>
    </w:tbl>
    <w:p w14:paraId="0BEC4DBD" w14:textId="77777777" w:rsidR="006F3279" w:rsidRDefault="006F3279" w:rsidP="00E172C6">
      <w:pPr>
        <w:spacing w:after="180"/>
        <w:rPr>
          <w:b/>
        </w:rPr>
      </w:pPr>
    </w:p>
    <w:p w14:paraId="036F068F"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5307935B" w14:textId="77777777" w:rsidTr="00D70913">
        <w:trPr>
          <w:trHeight w:val="340"/>
        </w:trPr>
        <w:tc>
          <w:tcPr>
            <w:tcW w:w="2196" w:type="dxa"/>
          </w:tcPr>
          <w:p w14:paraId="555B4695" w14:textId="77777777" w:rsidR="00FA5B3A" w:rsidRDefault="00FA5B3A" w:rsidP="00FA5B3A">
            <w:pPr>
              <w:spacing w:before="60" w:after="60"/>
            </w:pPr>
            <w:r>
              <w:t>Learning focus:</w:t>
            </w:r>
          </w:p>
        </w:tc>
        <w:tc>
          <w:tcPr>
            <w:tcW w:w="6820" w:type="dxa"/>
            <w:shd w:val="clear" w:color="auto" w:fill="auto"/>
          </w:tcPr>
          <w:p w14:paraId="29AFA988" w14:textId="51D40143" w:rsidR="00FA5B3A" w:rsidRPr="00D70913" w:rsidRDefault="00D70913" w:rsidP="00FA5B3A">
            <w:pPr>
              <w:spacing w:before="60" w:after="60"/>
            </w:pPr>
            <w:r w:rsidRPr="00D70913">
              <w:t xml:space="preserve">A chemical formula provides information on the composition of a </w:t>
            </w:r>
            <w:r w:rsidR="00A310DB">
              <w:t>substance.</w:t>
            </w:r>
          </w:p>
        </w:tc>
      </w:tr>
      <w:tr w:rsidR="00FA5B3A" w14:paraId="3B2BB1F5" w14:textId="77777777" w:rsidTr="00D70913">
        <w:trPr>
          <w:trHeight w:val="340"/>
        </w:trPr>
        <w:tc>
          <w:tcPr>
            <w:tcW w:w="2196" w:type="dxa"/>
          </w:tcPr>
          <w:p w14:paraId="64ACF8CD" w14:textId="77777777" w:rsidR="00FA5B3A" w:rsidRDefault="00FA5B3A" w:rsidP="00FA5B3A">
            <w:pPr>
              <w:spacing w:before="60" w:after="60"/>
            </w:pPr>
            <w:r>
              <w:t>Observable learning outcome:</w:t>
            </w:r>
          </w:p>
        </w:tc>
        <w:tc>
          <w:tcPr>
            <w:tcW w:w="6820" w:type="dxa"/>
            <w:shd w:val="clear" w:color="auto" w:fill="auto"/>
          </w:tcPr>
          <w:p w14:paraId="5AD1BC25" w14:textId="1107B9E6" w:rsidR="00FA5B3A" w:rsidRPr="00D70913" w:rsidRDefault="00D70913" w:rsidP="00FA5B3A">
            <w:pPr>
              <w:spacing w:before="60" w:after="60"/>
              <w:rPr>
                <w:b/>
              </w:rPr>
            </w:pPr>
            <w:r w:rsidRPr="00D70913">
              <w:t>Interpret the meaning of a chemical formula in terms of the ratio of atoms in a macroscopic sample of the substance.</w:t>
            </w:r>
          </w:p>
        </w:tc>
      </w:tr>
      <w:tr w:rsidR="00FA5B3A" w14:paraId="3C8EC3D5" w14:textId="77777777" w:rsidTr="00D70913">
        <w:trPr>
          <w:trHeight w:val="340"/>
        </w:trPr>
        <w:tc>
          <w:tcPr>
            <w:tcW w:w="2196" w:type="dxa"/>
          </w:tcPr>
          <w:p w14:paraId="1656C7AB" w14:textId="77777777" w:rsidR="00FA5B3A" w:rsidRDefault="007F5D5D" w:rsidP="00FA5B3A">
            <w:pPr>
              <w:spacing w:before="60" w:after="60"/>
            </w:pPr>
            <w:r>
              <w:t>Question</w:t>
            </w:r>
            <w:r w:rsidR="00FA5B3A">
              <w:t xml:space="preserve"> type:</w:t>
            </w:r>
          </w:p>
        </w:tc>
        <w:tc>
          <w:tcPr>
            <w:tcW w:w="6820" w:type="dxa"/>
            <w:shd w:val="clear" w:color="auto" w:fill="auto"/>
          </w:tcPr>
          <w:p w14:paraId="1A369F6C" w14:textId="0181A00C" w:rsidR="00FA5B3A" w:rsidRPr="00D70913" w:rsidRDefault="00D70913" w:rsidP="00FA5B3A">
            <w:pPr>
              <w:spacing w:before="60" w:after="60"/>
            </w:pPr>
            <w:r w:rsidRPr="00D70913">
              <w:t>simple multiple choice / confidence grid</w:t>
            </w:r>
          </w:p>
        </w:tc>
      </w:tr>
      <w:tr w:rsidR="00FA5B3A" w14:paraId="414499AB" w14:textId="77777777" w:rsidTr="00D70913">
        <w:trPr>
          <w:trHeight w:val="340"/>
        </w:trPr>
        <w:tc>
          <w:tcPr>
            <w:tcW w:w="2196" w:type="dxa"/>
          </w:tcPr>
          <w:p w14:paraId="4BFB94CD" w14:textId="77777777" w:rsidR="00FA5B3A" w:rsidRDefault="00FA5B3A" w:rsidP="00FA5B3A">
            <w:pPr>
              <w:spacing w:before="60" w:after="60"/>
            </w:pPr>
            <w:r>
              <w:t>Key words:</w:t>
            </w:r>
          </w:p>
        </w:tc>
        <w:tc>
          <w:tcPr>
            <w:tcW w:w="6820" w:type="dxa"/>
            <w:tcBorders>
              <w:bottom w:val="dotted" w:sz="4" w:space="0" w:color="auto"/>
            </w:tcBorders>
            <w:shd w:val="clear" w:color="auto" w:fill="auto"/>
          </w:tcPr>
          <w:p w14:paraId="0D884ED2" w14:textId="3B9A2A82" w:rsidR="00FA5B3A" w:rsidRPr="00D70913" w:rsidRDefault="00D70913" w:rsidP="00FA5B3A">
            <w:pPr>
              <w:spacing w:before="60" w:after="60"/>
            </w:pPr>
            <w:r w:rsidRPr="00D70913">
              <w:t>chemical formula, atom, molecule</w:t>
            </w:r>
          </w:p>
        </w:tc>
      </w:tr>
    </w:tbl>
    <w:p w14:paraId="7FC8049E" w14:textId="77777777" w:rsidR="00E172C6" w:rsidRDefault="00E172C6" w:rsidP="00E172C6">
      <w:pPr>
        <w:spacing w:after="180"/>
      </w:pPr>
    </w:p>
    <w:p w14:paraId="7E850A54"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0EA3DBD" w14:textId="3F29FC65" w:rsidR="00C05571" w:rsidRPr="00DF30C0" w:rsidRDefault="00A310DB" w:rsidP="0050055B">
      <w:pPr>
        <w:spacing w:after="180"/>
      </w:pPr>
      <w:r>
        <w:t xml:space="preserve">As part of a </w:t>
      </w:r>
      <w:r w:rsidR="0091454D" w:rsidRPr="00DF30C0">
        <w:t xml:space="preserve">review of the empirical research </w:t>
      </w:r>
      <w:r w:rsidR="00DF30C0" w:rsidRPr="00DF30C0">
        <w:fldChar w:fldCharType="begin"/>
      </w:r>
      <w:r w:rsidR="00DF30C0" w:rsidRPr="00DF30C0">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format="utc"&gt;1532343443&lt;/added-date&gt;&lt;ref-type name="Journal Article"&gt;17&lt;/ref-type&gt;&lt;dates&gt;&lt;year&gt;2012&lt;/year&gt;&lt;/dates&gt;&lt;rec-number&gt;9&lt;/rec-number&gt;&lt;last-updated-date format="utc"&gt;1532344398&lt;/last-updated-date&gt;&lt;volume&gt;36&lt;/volume&gt;&lt;/record&gt;&lt;/Cite&gt;&lt;/EndNote&gt;</w:instrText>
      </w:r>
      <w:r w:rsidR="00DF30C0" w:rsidRPr="00DF30C0">
        <w:fldChar w:fldCharType="separate"/>
      </w:r>
      <w:r w:rsidR="00DF30C0" w:rsidRPr="00DF30C0">
        <w:rPr>
          <w:noProof/>
        </w:rPr>
        <w:t>(Taskin and Bernholt, 2012)</w:t>
      </w:r>
      <w:r w:rsidR="00DF30C0" w:rsidRPr="00DF30C0">
        <w:fldChar w:fldCharType="end"/>
      </w:r>
      <w:r w:rsidR="00DF30C0" w:rsidRPr="00DF30C0">
        <w:t xml:space="preserve"> </w:t>
      </w:r>
      <w:r w:rsidR="0091454D" w:rsidRPr="00DF30C0">
        <w:t>on student understanding of chemical formulae, the authors cite their own</w:t>
      </w:r>
      <w:r w:rsidR="00D70913" w:rsidRPr="00DF30C0">
        <w:t xml:space="preserve"> project </w:t>
      </w:r>
      <w:r w:rsidR="00DF30C0" w:rsidRPr="00DF30C0">
        <w:t xml:space="preserve">in which </w:t>
      </w:r>
      <w:r w:rsidR="00D70913" w:rsidRPr="00DF30C0">
        <w:t>students</w:t>
      </w:r>
      <w:r w:rsidR="00DF30C0" w:rsidRPr="00DF30C0">
        <w:t xml:space="preserve"> were asked</w:t>
      </w:r>
      <w:r w:rsidR="00D70913" w:rsidRPr="00DF30C0">
        <w:t xml:space="preserve"> to match diagrams with different chemical formulae. The majority of students were </w:t>
      </w:r>
      <w:r w:rsidR="00DF30C0" w:rsidRPr="00DF30C0">
        <w:t xml:space="preserve">found to be </w:t>
      </w:r>
      <w:r w:rsidR="00D70913" w:rsidRPr="00DF30C0">
        <w:t xml:space="preserve">able to choose the correct diagram when the chemical formula represented as substance made up of individual molecules. However, when presented with the chemical formula of a substance </w:t>
      </w:r>
      <w:r w:rsidR="00DF30C0" w:rsidRPr="00DF30C0">
        <w:t>with</w:t>
      </w:r>
      <w:r w:rsidR="00D70913" w:rsidRPr="00DF30C0">
        <w:t xml:space="preserve"> a giant structure (such as an ionic compound) most students still selected a diagram representing a molecular compound.</w:t>
      </w:r>
    </w:p>
    <w:p w14:paraId="454F5400"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0AE5E3D0" w14:textId="0CBDB243" w:rsidR="00DF30C0" w:rsidRDefault="00DF30C0" w:rsidP="00DF30C0">
      <w:pPr>
        <w:rPr>
          <w:rFonts w:cstheme="minorHAnsi"/>
        </w:rPr>
      </w:pPr>
      <w:r w:rsidRPr="00816065">
        <w:rPr>
          <w:rFonts w:cstheme="minorHAnsi"/>
        </w:rPr>
        <w:t>Students should complete the</w:t>
      </w:r>
      <w:r>
        <w:rPr>
          <w:rFonts w:cstheme="minorHAnsi"/>
        </w:rPr>
        <w:t xml:space="preserve"> multiple- choice question and</w:t>
      </w:r>
      <w:r w:rsidRPr="00816065">
        <w:rPr>
          <w:rFonts w:cstheme="minorHAnsi"/>
        </w:rPr>
        <w:t xml:space="preserve"> confidence grid individually.  This could be a pencil and paper exercise, or you could use an electronic ‘voting system’ or mini white boards and the PowerPoint presentation.  </w:t>
      </w:r>
    </w:p>
    <w:p w14:paraId="646C7AD8" w14:textId="77777777" w:rsidR="00DF30C0" w:rsidRDefault="00DF30C0" w:rsidP="00DF30C0">
      <w:pPr>
        <w:rPr>
          <w:rFonts w:cstheme="minorHAnsi"/>
        </w:rPr>
      </w:pPr>
    </w:p>
    <w:p w14:paraId="62B7A57C" w14:textId="1AC9E748" w:rsidR="00DF30C0" w:rsidRPr="00816065" w:rsidRDefault="00DF30C0" w:rsidP="00DF30C0">
      <w:pPr>
        <w:spacing w:after="180"/>
        <w:rPr>
          <w:rFonts w:cstheme="minorHAnsi"/>
        </w:rPr>
      </w:pPr>
      <w:r>
        <w:rPr>
          <w:rFonts w:cstheme="minorHAnsi"/>
        </w:rPr>
        <w:t xml:space="preserve">This is a challenging </w:t>
      </w:r>
      <w:r w:rsidR="008308F9">
        <w:rPr>
          <w:rFonts w:cstheme="minorHAnsi"/>
        </w:rPr>
        <w:t>idea</w:t>
      </w:r>
      <w:r>
        <w:rPr>
          <w:rFonts w:cstheme="minorHAnsi"/>
        </w:rPr>
        <w:t xml:space="preserve"> which may give rise to a range of </w:t>
      </w:r>
      <w:r w:rsidR="00103ADB">
        <w:rPr>
          <w:rFonts w:cstheme="minorHAnsi"/>
        </w:rPr>
        <w:t>answers,</w:t>
      </w:r>
      <w:r>
        <w:rPr>
          <w:rFonts w:cstheme="minorHAnsi"/>
        </w:rPr>
        <w:t xml:space="preserve"> so </w:t>
      </w:r>
      <w:r w:rsidRPr="00816065">
        <w:rPr>
          <w:rFonts w:cstheme="minorHAnsi"/>
        </w:rPr>
        <w:t xml:space="preserve">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1C6A9974"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408DBCE6" w14:textId="79F5422E" w:rsidR="00BF6C8A" w:rsidRPr="0091454D" w:rsidRDefault="00103ADB" w:rsidP="00BF6C8A">
      <w:pPr>
        <w:spacing w:after="180"/>
      </w:pPr>
      <w:r>
        <w:t xml:space="preserve">1 </w:t>
      </w:r>
      <w:r w:rsidR="00D70913" w:rsidRPr="0091454D">
        <w:t>The chemical formula NaCl is best represented by diagram C.</w:t>
      </w:r>
    </w:p>
    <w:p w14:paraId="5771E85F" w14:textId="34AF0C42" w:rsidR="00D70913" w:rsidRPr="00D70913" w:rsidRDefault="00103ADB" w:rsidP="00BF6C8A">
      <w:pPr>
        <w:spacing w:after="180"/>
      </w:pPr>
      <w:r>
        <w:t xml:space="preserve">2 </w:t>
      </w:r>
      <w:r w:rsidR="00D70913">
        <w:t>All three descriptions of the formula H</w:t>
      </w:r>
      <w:r w:rsidR="00D70913">
        <w:rPr>
          <w:vertAlign w:val="subscript"/>
        </w:rPr>
        <w:t>2</w:t>
      </w:r>
      <w:r w:rsidR="00D70913">
        <w:t>O are correct</w:t>
      </w:r>
      <w:r w:rsidR="008308F9">
        <w:t>.</w:t>
      </w:r>
    </w:p>
    <w:p w14:paraId="1894A184"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19051641" w14:textId="196DB40E" w:rsidR="004F039C" w:rsidRPr="00103ADB" w:rsidRDefault="00DF30C0" w:rsidP="006A4440">
      <w:pPr>
        <w:spacing w:after="180"/>
      </w:pPr>
      <w:r w:rsidRPr="00103ADB">
        <w:t xml:space="preserve">A student selecting option A on </w:t>
      </w:r>
      <w:r w:rsidR="008308F9">
        <w:t>the first question</w:t>
      </w:r>
      <w:r w:rsidRPr="00103ADB">
        <w:t xml:space="preserve"> is likely to be directly translating the symbols making up the formula into a diagrammatic form. A student selecting option B may be additionally inferring that sodium chloride is made up of separate molecules.</w:t>
      </w:r>
    </w:p>
    <w:p w14:paraId="2F8CA80A" w14:textId="14EDC893" w:rsidR="00DF30C0" w:rsidRPr="00103ADB" w:rsidRDefault="00DF30C0" w:rsidP="006A4440">
      <w:pPr>
        <w:spacing w:after="180"/>
      </w:pPr>
      <w:r w:rsidRPr="00103ADB">
        <w:t xml:space="preserve">The concept of ratio in chemical formulae is challenging. At this stage the risk is that by keeping ideas </w:t>
      </w:r>
      <w:r w:rsidR="00103ADB" w:rsidRPr="00103ADB">
        <w:t>simpler</w:t>
      </w:r>
      <w:r w:rsidRPr="00103ADB">
        <w:t xml:space="preserve"> by linking chemical formulae to molecules, additional misunderstandings may be introduced. Students should not </w:t>
      </w:r>
      <w:r w:rsidR="00103ADB">
        <w:t xml:space="preserve">be </w:t>
      </w:r>
      <w:r w:rsidR="00103ADB" w:rsidRPr="00103ADB">
        <w:t>expected</w:t>
      </w:r>
      <w:r w:rsidRPr="00103ADB">
        <w:t xml:space="preserve"> to understand the detailed structure of sodium chloride as this requires an understanding of ions. However, they could be encouraged make links with their understanding of the existence of single giant structures</w:t>
      </w:r>
      <w:r w:rsidR="00103ADB">
        <w:t xml:space="preserve"> (see key concept: Atoms and molecules)</w:t>
      </w:r>
      <w:r w:rsidRPr="00103ADB">
        <w:t xml:space="preserve">. This should allow </w:t>
      </w:r>
      <w:r w:rsidR="00103ADB">
        <w:t>students</w:t>
      </w:r>
      <w:r w:rsidRPr="00103ADB">
        <w:t xml:space="preserve"> to realise that a chemical formula cannot always represent a separate molecule or molecules. This important idea could be repeatedly reinforced during subsequent teaching.</w:t>
      </w:r>
    </w:p>
    <w:p w14:paraId="6426CE0D" w14:textId="78CF127B" w:rsidR="00DF30C0" w:rsidRDefault="00DF30C0" w:rsidP="00DF30C0">
      <w:pPr>
        <w:spacing w:after="180"/>
      </w:pPr>
      <w:r>
        <w:t xml:space="preserve">If students have not yet met the concept of ratio in mathematics simple word expressions could be used such as ‘For every carbon atom there are two oxygen atoms.’ Use of giant covalent structures </w:t>
      </w:r>
      <w:r w:rsidR="0054026D">
        <w:t xml:space="preserve">as examples </w:t>
      </w:r>
      <w:r w:rsidR="00AA38C1">
        <w:t>could help to avoid</w:t>
      </w:r>
      <w:r>
        <w:t xml:space="preserve"> difficulties</w:t>
      </w:r>
      <w:r w:rsidR="00AA38C1">
        <w:t xml:space="preserve"> with</w:t>
      </w:r>
      <w:r>
        <w:t xml:space="preserve"> terminology met</w:t>
      </w:r>
      <w:r w:rsidR="008308F9">
        <w:t xml:space="preserve"> with</w:t>
      </w:r>
      <w:r>
        <w:t xml:space="preserve"> the use of giant ionic structures which consist of ions rather than atoms.</w:t>
      </w:r>
    </w:p>
    <w:p w14:paraId="5B88F9C3" w14:textId="74A0AFAB" w:rsidR="00103ADB" w:rsidRDefault="00103ADB" w:rsidP="00DF30C0">
      <w:pPr>
        <w:spacing w:after="180"/>
      </w:pPr>
      <w:r>
        <w:t xml:space="preserve">The confidence grid question has been included to address any misunderstanding that ratios only apply to the chemical formulae of a substances with a giant structure. </w:t>
      </w:r>
    </w:p>
    <w:p w14:paraId="40AAB686"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7029173B" w14:textId="1A57923C" w:rsidR="00D278E8" w:rsidRPr="00D70913" w:rsidRDefault="00D278E8" w:rsidP="00E172C6">
      <w:pPr>
        <w:spacing w:after="180"/>
      </w:pPr>
      <w:r w:rsidRPr="00D70913">
        <w:t xml:space="preserve">Developed </w:t>
      </w:r>
      <w:r w:rsidR="0015356E" w:rsidRPr="00D70913">
        <w:t xml:space="preserve">by </w:t>
      </w:r>
      <w:r w:rsidR="00D70913" w:rsidRPr="00D70913">
        <w:t>Helen Harden</w:t>
      </w:r>
      <w:r w:rsidR="0015356E" w:rsidRPr="00D70913">
        <w:t xml:space="preserve"> (UYSEG)</w:t>
      </w:r>
      <w:r w:rsidR="00D70913" w:rsidRPr="00D70913">
        <w:t>.</w:t>
      </w:r>
    </w:p>
    <w:p w14:paraId="3DDDB8BD" w14:textId="27290D68" w:rsidR="004A2603" w:rsidRPr="00103ADB" w:rsidRDefault="00D278E8" w:rsidP="00E24309">
      <w:pPr>
        <w:spacing w:after="180"/>
      </w:pPr>
      <w:r w:rsidRPr="00D70913">
        <w:t xml:space="preserve">Images: </w:t>
      </w:r>
      <w:r w:rsidR="00D70913" w:rsidRPr="00D70913">
        <w:t>Diagram of sodium chloride lattice b</w:t>
      </w:r>
      <w:r w:rsidR="004A2603" w:rsidRPr="00D70913">
        <w:t xml:space="preserve">y Benjah-bmm27 - Own work, Public Domain, </w:t>
      </w:r>
      <w:hyperlink r:id="rId9" w:history="1">
        <w:r w:rsidR="004A2603" w:rsidRPr="00D70913">
          <w:rPr>
            <w:rStyle w:val="Hyperlink"/>
          </w:rPr>
          <w:t>https://commons.wikimedia.org/w/index.php?curid=702423</w:t>
        </w:r>
      </w:hyperlink>
    </w:p>
    <w:p w14:paraId="73ABE702" w14:textId="65AC89A3" w:rsidR="00DF30C0" w:rsidRDefault="003117F6" w:rsidP="00E24309">
      <w:pPr>
        <w:spacing w:after="180"/>
        <w:rPr>
          <w:b/>
          <w:color w:val="E36C0A" w:themeColor="accent6" w:themeShade="BF"/>
          <w:sz w:val="24"/>
        </w:rPr>
      </w:pPr>
      <w:r w:rsidRPr="00323334">
        <w:rPr>
          <w:b/>
          <w:color w:val="E36C0A" w:themeColor="accent6" w:themeShade="BF"/>
          <w:sz w:val="24"/>
        </w:rPr>
        <w:t>References</w:t>
      </w:r>
    </w:p>
    <w:p w14:paraId="18644F3B" w14:textId="77777777" w:rsidR="00DF30C0" w:rsidRPr="00DF30C0" w:rsidRDefault="00DF30C0" w:rsidP="00DF30C0">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DF30C0">
        <w:t xml:space="preserve">Taskin, V. and Bernholt, S. (2012). Students' understanding of chemical formulae: A review of empirical research. </w:t>
      </w:r>
      <w:r w:rsidRPr="00DF30C0">
        <w:rPr>
          <w:i/>
        </w:rPr>
        <w:t>International Journal of Science Education,</w:t>
      </w:r>
      <w:r w:rsidRPr="00DF30C0">
        <w:t xml:space="preserve"> 36(1)</w:t>
      </w:r>
      <w:r w:rsidRPr="00DF30C0">
        <w:rPr>
          <w:b/>
        </w:rPr>
        <w:t>,</w:t>
      </w:r>
      <w:r w:rsidRPr="00DF30C0">
        <w:t xml:space="preserve"> 157-185.</w:t>
      </w:r>
    </w:p>
    <w:p w14:paraId="7E050F23" w14:textId="4D92EB93" w:rsidR="00B46FF9" w:rsidRPr="001E4950" w:rsidRDefault="00DF30C0"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F0252" w14:textId="77777777" w:rsidR="0019750D" w:rsidRDefault="0019750D" w:rsidP="000B473B">
      <w:r>
        <w:separator/>
      </w:r>
    </w:p>
  </w:endnote>
  <w:endnote w:type="continuationSeparator" w:id="0">
    <w:p w14:paraId="19F911FC" w14:textId="77777777" w:rsidR="0019750D" w:rsidRDefault="0019750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D6ECD" w14:textId="77777777" w:rsidR="0019750D" w:rsidRDefault="0019750D" w:rsidP="000B473B">
      <w:r>
        <w:separator/>
      </w:r>
    </w:p>
  </w:footnote>
  <w:footnote w:type="continuationSeparator" w:id="0">
    <w:p w14:paraId="7BF5A169" w14:textId="77777777" w:rsidR="0019750D" w:rsidRDefault="0019750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BC4E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BC66086" wp14:editId="3471F06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21FDB9C" wp14:editId="6B38BAB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246A4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43B8C"/>
    <w:rsid w:val="00015578"/>
    <w:rsid w:val="0002446C"/>
    <w:rsid w:val="00024731"/>
    <w:rsid w:val="00026DEC"/>
    <w:rsid w:val="000505CA"/>
    <w:rsid w:val="0007651D"/>
    <w:rsid w:val="0009089A"/>
    <w:rsid w:val="000947E2"/>
    <w:rsid w:val="00095E04"/>
    <w:rsid w:val="000B45C3"/>
    <w:rsid w:val="000B473B"/>
    <w:rsid w:val="000D0E89"/>
    <w:rsid w:val="000E2689"/>
    <w:rsid w:val="00103ADB"/>
    <w:rsid w:val="00142613"/>
    <w:rsid w:val="00144DA7"/>
    <w:rsid w:val="0015356E"/>
    <w:rsid w:val="00161D3F"/>
    <w:rsid w:val="001915D4"/>
    <w:rsid w:val="001931F8"/>
    <w:rsid w:val="00194664"/>
    <w:rsid w:val="0019750D"/>
    <w:rsid w:val="001A1FED"/>
    <w:rsid w:val="001A40E2"/>
    <w:rsid w:val="001C4805"/>
    <w:rsid w:val="001E4950"/>
    <w:rsid w:val="00201AC2"/>
    <w:rsid w:val="00214608"/>
    <w:rsid w:val="0021607B"/>
    <w:rsid w:val="002178AC"/>
    <w:rsid w:val="00221E7B"/>
    <w:rsid w:val="0022547C"/>
    <w:rsid w:val="00242736"/>
    <w:rsid w:val="0025410A"/>
    <w:rsid w:val="0027553E"/>
    <w:rsid w:val="0028012F"/>
    <w:rsid w:val="002828DF"/>
    <w:rsid w:val="00286B06"/>
    <w:rsid w:val="00287876"/>
    <w:rsid w:val="00292C53"/>
    <w:rsid w:val="00294E22"/>
    <w:rsid w:val="002C22EA"/>
    <w:rsid w:val="002C59BA"/>
    <w:rsid w:val="00301AA9"/>
    <w:rsid w:val="003117F6"/>
    <w:rsid w:val="00323334"/>
    <w:rsid w:val="003533B8"/>
    <w:rsid w:val="00362FF6"/>
    <w:rsid w:val="003752BE"/>
    <w:rsid w:val="003A346A"/>
    <w:rsid w:val="003B2917"/>
    <w:rsid w:val="003B541B"/>
    <w:rsid w:val="003E2B2F"/>
    <w:rsid w:val="003E6046"/>
    <w:rsid w:val="003F16F9"/>
    <w:rsid w:val="00402E34"/>
    <w:rsid w:val="00430C1F"/>
    <w:rsid w:val="00442595"/>
    <w:rsid w:val="0045323E"/>
    <w:rsid w:val="004A2603"/>
    <w:rsid w:val="004B0EE1"/>
    <w:rsid w:val="004C5D20"/>
    <w:rsid w:val="004D0D83"/>
    <w:rsid w:val="004E1DF1"/>
    <w:rsid w:val="004E5592"/>
    <w:rsid w:val="004F039C"/>
    <w:rsid w:val="0050055B"/>
    <w:rsid w:val="00524710"/>
    <w:rsid w:val="0054026D"/>
    <w:rsid w:val="00555342"/>
    <w:rsid w:val="005560E2"/>
    <w:rsid w:val="005A452E"/>
    <w:rsid w:val="005A6EE7"/>
    <w:rsid w:val="005F1A7B"/>
    <w:rsid w:val="006355D8"/>
    <w:rsid w:val="00642ECD"/>
    <w:rsid w:val="006502A0"/>
    <w:rsid w:val="006772F5"/>
    <w:rsid w:val="00695159"/>
    <w:rsid w:val="006A4440"/>
    <w:rsid w:val="006B0615"/>
    <w:rsid w:val="006C3D61"/>
    <w:rsid w:val="006D166B"/>
    <w:rsid w:val="006F3279"/>
    <w:rsid w:val="006F6C6B"/>
    <w:rsid w:val="00704AEE"/>
    <w:rsid w:val="00722F9A"/>
    <w:rsid w:val="00743B8C"/>
    <w:rsid w:val="00754539"/>
    <w:rsid w:val="00781BC6"/>
    <w:rsid w:val="007A3C86"/>
    <w:rsid w:val="007A683E"/>
    <w:rsid w:val="007A748B"/>
    <w:rsid w:val="007C26E1"/>
    <w:rsid w:val="007D1D65"/>
    <w:rsid w:val="007E0A9E"/>
    <w:rsid w:val="007E5309"/>
    <w:rsid w:val="007F5D5D"/>
    <w:rsid w:val="00800DE1"/>
    <w:rsid w:val="00813F47"/>
    <w:rsid w:val="008308F9"/>
    <w:rsid w:val="008450D6"/>
    <w:rsid w:val="00856FCA"/>
    <w:rsid w:val="00873B8C"/>
    <w:rsid w:val="00880E3B"/>
    <w:rsid w:val="008A405F"/>
    <w:rsid w:val="008C7F34"/>
    <w:rsid w:val="008E580C"/>
    <w:rsid w:val="0090047A"/>
    <w:rsid w:val="0091454D"/>
    <w:rsid w:val="00925026"/>
    <w:rsid w:val="00931264"/>
    <w:rsid w:val="00942A4B"/>
    <w:rsid w:val="00961D59"/>
    <w:rsid w:val="009B2CE4"/>
    <w:rsid w:val="009B2D55"/>
    <w:rsid w:val="009C0343"/>
    <w:rsid w:val="009E0D11"/>
    <w:rsid w:val="00A24A16"/>
    <w:rsid w:val="00A310DB"/>
    <w:rsid w:val="00A32B08"/>
    <w:rsid w:val="00A37D14"/>
    <w:rsid w:val="00A42C0B"/>
    <w:rsid w:val="00A6111E"/>
    <w:rsid w:val="00A6168B"/>
    <w:rsid w:val="00A62028"/>
    <w:rsid w:val="00AA38C1"/>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0913"/>
    <w:rsid w:val="00D72FEF"/>
    <w:rsid w:val="00D755FA"/>
    <w:rsid w:val="00DC4A4E"/>
    <w:rsid w:val="00DD1874"/>
    <w:rsid w:val="00DD63BD"/>
    <w:rsid w:val="00DF05DB"/>
    <w:rsid w:val="00DF30C0"/>
    <w:rsid w:val="00DF7E20"/>
    <w:rsid w:val="00E172C6"/>
    <w:rsid w:val="00E24309"/>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DFF57"/>
  <w15:docId w15:val="{67BFCCB9-2DAA-4E81-9B7C-410F3ED11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4A2603"/>
    <w:rPr>
      <w:color w:val="0000FF" w:themeColor="hyperlink"/>
      <w:u w:val="single"/>
    </w:rPr>
  </w:style>
  <w:style w:type="character" w:styleId="UnresolvedMention">
    <w:name w:val="Unresolved Mention"/>
    <w:basedOn w:val="DefaultParagraphFont"/>
    <w:uiPriority w:val="99"/>
    <w:semiHidden/>
    <w:unhideWhenUsed/>
    <w:rsid w:val="004A2603"/>
    <w:rPr>
      <w:color w:val="605E5C"/>
      <w:shd w:val="clear" w:color="auto" w:fill="E1DFDD"/>
    </w:rPr>
  </w:style>
  <w:style w:type="paragraph" w:customStyle="1" w:styleId="EndNoteBibliographyTitle">
    <w:name w:val="EndNote Bibliography Title"/>
    <w:basedOn w:val="Normal"/>
    <w:link w:val="EndNoteBibliographyTitleChar"/>
    <w:rsid w:val="00DF30C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F30C0"/>
    <w:rPr>
      <w:rFonts w:ascii="Calibri" w:hAnsi="Calibri" w:cs="Calibri"/>
      <w:noProof/>
      <w:lang w:val="en-US"/>
    </w:rPr>
  </w:style>
  <w:style w:type="paragraph" w:customStyle="1" w:styleId="EndNoteBibliography">
    <w:name w:val="EndNote Bibliography"/>
    <w:basedOn w:val="Normal"/>
    <w:link w:val="EndNoteBibliographyChar"/>
    <w:rsid w:val="00DF30C0"/>
    <w:rPr>
      <w:rFonts w:ascii="Calibri" w:hAnsi="Calibri" w:cs="Calibri"/>
      <w:noProof/>
      <w:lang w:val="en-US"/>
    </w:rPr>
  </w:style>
  <w:style w:type="character" w:customStyle="1" w:styleId="EndNoteBibliographyChar">
    <w:name w:val="EndNote Bibliography Char"/>
    <w:basedOn w:val="DefaultParagraphFont"/>
    <w:link w:val="EndNoteBibliography"/>
    <w:rsid w:val="00DF30C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mmons.wikimedia.org/w/index.php?curid=70242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Documents\Particles%20structure%20and%20%20properties\Items\BEST_CPS2_2_Diagnostic_NaCl%20diagra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BEST_CPS2_2_Diagnostic_NaCl diagram</Template>
  <TotalTime>109</TotalTime>
  <Pages>4</Pages>
  <Words>780</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8</cp:revision>
  <cp:lastPrinted>2017-02-24T16:20:00Z</cp:lastPrinted>
  <dcterms:created xsi:type="dcterms:W3CDTF">2018-07-25T10:23:00Z</dcterms:created>
  <dcterms:modified xsi:type="dcterms:W3CDTF">2018-07-26T09:53:00Z</dcterms:modified>
</cp:coreProperties>
</file>